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60" w:lineRule="auto"/>
        <w:jc w:val="center"/>
        <w:rPr>
          <w:rFonts w:ascii="Rasa" w:cs="Rasa" w:eastAsia="Rasa" w:hAnsi="Rasa"/>
          <w:b w:val="1"/>
          <w:color w:val="0f20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Rule="auto"/>
        <w:jc w:val="center"/>
        <w:rPr>
          <w:rFonts w:ascii="Rasa" w:cs="Rasa" w:eastAsia="Rasa" w:hAnsi="Rasa"/>
          <w:b w:val="1"/>
          <w:color w:val="0f2032"/>
        </w:rPr>
      </w:pPr>
      <w:r w:rsidDel="00000000" w:rsidR="00000000" w:rsidRPr="00000000">
        <w:rPr>
          <w:rFonts w:ascii="Rasa" w:cs="Rasa" w:eastAsia="Rasa" w:hAnsi="Rasa"/>
          <w:b w:val="1"/>
          <w:color w:val="0f2032"/>
          <w:rtl w:val="0"/>
        </w:rPr>
        <w:t xml:space="preserve">Avantages et inconvénients des modes de financement des </w:t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asa" w:cs="Rasa" w:eastAsia="Rasa" w:hAnsi="Rasa"/>
          <w:b w:val="1"/>
          <w:color w:val="0f2032"/>
        </w:rPr>
      </w:pPr>
      <w:r w:rsidDel="00000000" w:rsidR="00000000" w:rsidRPr="00000000">
        <w:rPr>
          <w:rFonts w:ascii="Rasa" w:cs="Rasa" w:eastAsia="Rasa" w:hAnsi="Rasa"/>
          <w:b w:val="1"/>
          <w:color w:val="0f2032"/>
          <w:rtl w:val="0"/>
        </w:rPr>
        <w:t xml:space="preserve">Sociétés commerciales : SARL/SAS/SA/SCA</w:t>
      </w:r>
    </w:p>
    <w:tbl>
      <w:tblPr>
        <w:tblStyle w:val="Table1"/>
        <w:tblW w:w="964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3827"/>
        <w:gridCol w:w="3544"/>
        <w:tblGridChange w:id="0">
          <w:tblGrid>
            <w:gridCol w:w="2269"/>
            <w:gridCol w:w="3827"/>
            <w:gridCol w:w="35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Rasa" w:cs="Rasa" w:eastAsia="Rasa" w:hAnsi="Ras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sa" w:cs="Rasa" w:eastAsia="Rasa" w:hAnsi="Rasa"/>
                <w:b w:val="1"/>
                <w:sz w:val="18"/>
                <w:szCs w:val="18"/>
                <w:rtl w:val="0"/>
              </w:rPr>
              <w:t xml:space="preserve">Mode de financement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rFonts w:ascii="Rasa" w:cs="Rasa" w:eastAsia="Rasa" w:hAnsi="Ras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sa" w:cs="Rasa" w:eastAsia="Rasa" w:hAnsi="Rasa"/>
                <w:b w:val="1"/>
                <w:sz w:val="18"/>
                <w:szCs w:val="18"/>
                <w:rtl w:val="0"/>
              </w:rPr>
              <w:t xml:space="preserve">Avantages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rFonts w:ascii="Rasa" w:cs="Rasa" w:eastAsia="Rasa" w:hAnsi="Ras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sa" w:cs="Rasa" w:eastAsia="Rasa" w:hAnsi="Rasa"/>
                <w:b w:val="1"/>
                <w:sz w:val="18"/>
                <w:szCs w:val="18"/>
                <w:rtl w:val="0"/>
              </w:rPr>
              <w:t xml:space="preserve">Inconvénients</w:t>
            </w:r>
          </w:p>
        </w:tc>
      </w:tr>
      <w:tr>
        <w:trPr>
          <w:cantSplit w:val="0"/>
          <w:trHeight w:val="17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Action : SAS, SA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Part sociale (PS) : SARL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Société commerciale/SARL/SAS/SA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Fonds propres (long-terme, faible liquidité) avec effet de levier maximal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Société commerciale/SARL/SAS/SA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Dilution des droits de vote (sauf en présence de catégories d’actions/PS toutefois lourdes à mettre en place)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Rémunération potentiellement onéreuse (dividendes et plus-value)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Pour la PS, non éligibilité sur les plateformes de crowdfunding n’ayant pas l’agrément PSI</w:t>
            </w:r>
          </w:p>
        </w:tc>
      </w:tr>
      <w:tr>
        <w:trPr>
          <w:cantSplit w:val="0"/>
          <w:trHeight w:val="17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Investisseur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Droit de vote en assemblée générale 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Droit aux dividendes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Plus-value possible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Rémunération non limitée*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Éligibilité à la défiscalisation « souscription capital PME » pour les investisseurs personnes physiques (25% à l’IR)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Investisseur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Créance de dernier rang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Obligations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Société commerciale/SARL/SAS/SA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Potentiellement assimilable à des fonds propres avec effet de levier maximal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Durée, mode de remboursement et rémunération modulables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Éligibilité sur les plateformes de crowdfunding ayant l’agrément CIP et PSI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Permet d’assouplir la gouvernance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Permet de contourner le nombre maximal d’associés (100) pour les SARL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Société commerciale/SARL/SAS/SA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Coût généralement plus élevé auprès d’investisseurs solidaires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Nomination d’un commissaire aux comptes (CAC) pour les SARL (mandat de CAC de 6 ans, quelle que soit sa durée de vie) et d’un commissaire aux apports (ponctuel) pour les SAS de moins de 2 ans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Investisseur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Rémunération non limitée*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Plus-value possible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Durée, mode de remboursement et rémunération modulables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Investisseur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Absence de droit de vote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Droit d’information plus faible que les actionnaires/associés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Créance de dernier rang (remboursement avant action/PS)</w:t>
            </w:r>
          </w:p>
        </w:tc>
      </w:tr>
      <w:tr>
        <w:trPr>
          <w:cantSplit w:val="0"/>
          <w:trHeight w:val="14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Prêt participatif (PP)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Société commerciale/SARL/SAS/SA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Assimilable à des fonds propres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Généralement peu onéreux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Permet d’assouplir la gouvernance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Permet de contourner le nombre maximal d’associés (100) pour les SARL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Société commerciale/SARL/SAS/SA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Réservé aux personnes morales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Non éligibilité sur les plateformes de crowdfunding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Moindre effet de levier</w:t>
            </w:r>
          </w:p>
        </w:tc>
      </w:tr>
      <w:tr>
        <w:trPr>
          <w:cantSplit w:val="0"/>
          <w:trHeight w:val="14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Investisseur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Rémunération non limitée*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Liberté sur le mode de remboursement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Investisseur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Absence de droit de vote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Droit d’information plus faible que les sociétaires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Pas de plus-value possible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Créance de dernier rang (remboursement avant action/PS et obligation)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Compte-courant d’associé (CCA), de dirigeants (CCD) et de salarié (CCS)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Société commerciale/SARL/SAS/SA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Assimilable à des fonds propres si bloquée une durée minimale (généralement 2 ans minimum)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Société commerciale/SARL/SAS/SA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Réservé aux détenteurs d’au moins une part sociale/action du capital social (sauf pour les dirigeants et les salariés)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Non éligibilité sur les plateformes de crowdfunding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Rémunération fiscalement limitée au taux moyen des prêts &gt; 2 ans des établissements bancaires (2,21% au 2</w:t>
            </w: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 semestre 2022)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Investisseur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Rémunération juridiquement non limitée 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Liberté sur le mode de remboursement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u w:val="single"/>
                <w:rtl w:val="0"/>
              </w:rPr>
              <w:t xml:space="preserve">Investisseur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Pour les CCD, limitation de la notion de dirigeants aux administrateurs, membres du directoire et du conseil de surveillance, et gérants (à l’exclusion du Président et du Directeur Général)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Limitation pour les CCS, par salarié, à 10% des capitaux propres 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Pas de plus-value possible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both"/>
              <w:rPr>
                <w:rFonts w:ascii="Rasa" w:cs="Rasa" w:eastAsia="Rasa" w:hAnsi="Rasa"/>
                <w:sz w:val="17"/>
                <w:szCs w:val="17"/>
              </w:rPr>
            </w:pPr>
            <w:r w:rsidDel="00000000" w:rsidR="00000000" w:rsidRPr="00000000">
              <w:rPr>
                <w:rFonts w:ascii="Rasa" w:cs="Rasa" w:eastAsia="Rasa" w:hAnsi="Rasa"/>
                <w:sz w:val="17"/>
                <w:szCs w:val="17"/>
                <w:rtl w:val="0"/>
              </w:rPr>
              <w:t xml:space="preserve">Créance de dernier rang (remboursement avant action/PS, obligation et PP)</w:t>
            </w:r>
          </w:p>
        </w:tc>
      </w:tr>
    </w:tbl>
    <w:p w:rsidR="00000000" w:rsidDel="00000000" w:rsidP="00000000" w:rsidRDefault="00000000" w:rsidRPr="00000000" w14:paraId="00000050">
      <w:pPr>
        <w:spacing w:before="240" w:lineRule="auto"/>
        <w:jc w:val="both"/>
        <w:rPr>
          <w:rFonts w:ascii="Rasa" w:cs="Rasa" w:eastAsia="Rasa" w:hAnsi="Rasa"/>
          <w:color w:val="a6a6a6"/>
          <w:sz w:val="15"/>
          <w:szCs w:val="15"/>
        </w:rPr>
      </w:pPr>
      <w:r w:rsidDel="00000000" w:rsidR="00000000" w:rsidRPr="00000000">
        <w:rPr>
          <w:rFonts w:ascii="Rasa" w:cs="Rasa" w:eastAsia="Rasa" w:hAnsi="Rasa"/>
          <w:color w:val="a6a6a6"/>
          <w:sz w:val="15"/>
          <w:szCs w:val="15"/>
          <w:rtl w:val="0"/>
        </w:rPr>
        <w:t xml:space="preserve">* Il est à noter que l’agrément ESUS prévoyait jusqu’en 2019 un critère de limitation globale des rémunérations financières à hauteur du TMO + 5% (soit 7,51% au 2</w:t>
      </w:r>
      <w:r w:rsidDel="00000000" w:rsidR="00000000" w:rsidRPr="00000000">
        <w:rPr>
          <w:rFonts w:ascii="Rasa" w:cs="Rasa" w:eastAsia="Rasa" w:hAnsi="Rasa"/>
          <w:color w:val="a6a6a6"/>
          <w:sz w:val="15"/>
          <w:szCs w:val="15"/>
          <w:vertAlign w:val="superscript"/>
          <w:rtl w:val="0"/>
        </w:rPr>
        <w:t xml:space="preserve">e</w:t>
      </w:r>
      <w:r w:rsidDel="00000000" w:rsidR="00000000" w:rsidRPr="00000000">
        <w:rPr>
          <w:rFonts w:ascii="Rasa" w:cs="Rasa" w:eastAsia="Rasa" w:hAnsi="Rasa"/>
          <w:color w:val="a6a6a6"/>
          <w:sz w:val="15"/>
          <w:szCs w:val="15"/>
          <w:rtl w:val="0"/>
        </w:rPr>
        <w:t xml:space="preserve"> semestre 2022), alternative au critère toujours en vigueur de minimum 2/3 de charges d’utilité sociale. Bien que ce critère ait été supprimé par la loi PACTE de 2019, nous vous recommandons de vérifier vos statuts pour s’assurer de son éventuel respect.</w:t>
      </w:r>
    </w:p>
    <w:sectPr>
      <w:headerReference r:id="rId7" w:type="default"/>
      <w:footerReference r:id="rId8" w:type="default"/>
      <w:pgSz w:h="16838" w:w="11906" w:orient="portrait"/>
      <w:pgMar w:bottom="851" w:top="851" w:left="1418" w:right="1418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59" w:firstLine="0"/>
      <w:jc w:val="left"/>
      <w:rPr>
        <w:rFonts w:ascii="Rasa" w:cs="Rasa" w:eastAsia="Rasa" w:hAnsi="Rasa"/>
        <w:b w:val="0"/>
        <w:i w:val="0"/>
        <w:smallCaps w:val="0"/>
        <w:strike w:val="0"/>
        <w:color w:val="767171"/>
        <w:sz w:val="13"/>
        <w:szCs w:val="13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563c1"/>
          <w:sz w:val="13"/>
          <w:szCs w:val="13"/>
          <w:u w:val="single"/>
          <w:shd w:fill="auto" w:val="clear"/>
          <w:vertAlign w:val="baseline"/>
          <w:rtl w:val="0"/>
        </w:rPr>
        <w:t xml:space="preserve">Mathieu Castaings</w:t>
      </w:r>
    </w:hyperlink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767171"/>
        <w:sz w:val="13"/>
        <w:szCs w:val="13"/>
        <w:u w:val="none"/>
        <w:shd w:fill="auto" w:val="clear"/>
        <w:vertAlign w:val="baseline"/>
        <w:rtl w:val="0"/>
      </w:rPr>
      <w:t xml:space="preserve">Expert-comptable</w:t>
      <w:tab/>
      <w:tab/>
      <w:tab/>
      <w:tab/>
      <w:tab/>
      <w:tab/>
      <w:t xml:space="preserve">A jour le 21/03/2023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59" w:firstLine="0"/>
      <w:jc w:val="left"/>
      <w:rPr>
        <w:rFonts w:ascii="Rasa" w:cs="Rasa" w:eastAsia="Rasa" w:hAnsi="Rasa"/>
        <w:b w:val="0"/>
        <w:i w:val="0"/>
        <w:smallCaps w:val="0"/>
        <w:strike w:val="0"/>
        <w:color w:val="767171"/>
        <w:sz w:val="13"/>
        <w:szCs w:val="13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563c1"/>
          <w:sz w:val="13"/>
          <w:szCs w:val="13"/>
          <w:u w:val="single"/>
          <w:shd w:fill="auto" w:val="clear"/>
          <w:vertAlign w:val="baseline"/>
          <w:rtl w:val="0"/>
        </w:rPr>
        <w:t xml:space="preserve">FINACOOP</w:t>
      </w:r>
    </w:hyperlink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767171"/>
        <w:sz w:val="13"/>
        <w:szCs w:val="13"/>
        <w:u w:val="none"/>
        <w:shd w:fill="auto" w:val="clear"/>
        <w:vertAlign w:val="baseline"/>
        <w:rtl w:val="0"/>
      </w:rPr>
      <w:t xml:space="preserve">,</w:t>
      <w:tab/>
      <w:tab/>
      <w:t xml:space="preserve">                 Document sous licence </w:t>
    </w:r>
    <w:hyperlink r:id="rId3"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563c1"/>
          <w:sz w:val="13"/>
          <w:szCs w:val="13"/>
          <w:u w:val="single"/>
          <w:shd w:fill="auto" w:val="clear"/>
          <w:vertAlign w:val="baseline"/>
          <w:rtl w:val="0"/>
        </w:rPr>
        <w:t xml:space="preserve">Creative Commons CC-BY-SA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59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767171"/>
        <w:sz w:val="13"/>
        <w:szCs w:val="13"/>
        <w:u w:val="none"/>
        <w:shd w:fill="auto" w:val="clear"/>
        <w:vertAlign w:val="baseline"/>
        <w:rtl w:val="0"/>
      </w:rPr>
      <w:t xml:space="preserve">Coopérative d'intérêt collectif anonyme (SCIC SA) d'expertise comptable, juridique et financière</w:t>
    </w: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  <w:rtl w:val="0"/>
      </w:rPr>
      <w:tab/>
      <w:t xml:space="preserve">     </w:t>
    </w: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767171"/>
        <w:sz w:val="13"/>
        <w:szCs w:val="13"/>
        <w:u w:val="none"/>
        <w:shd w:fill="auto" w:val="clear"/>
        <w:vertAlign w:val="baseline"/>
        <w:rtl w:val="0"/>
      </w:rPr>
      <w:t xml:space="preserve">Rédigé sous police écologique </w:t>
    </w:r>
    <w:hyperlink r:id="rId4"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563c1"/>
          <w:sz w:val="13"/>
          <w:szCs w:val="13"/>
          <w:u w:val="single"/>
          <w:shd w:fill="auto" w:val="clear"/>
          <w:vertAlign w:val="baseline"/>
          <w:rtl w:val="0"/>
        </w:rPr>
        <w:t xml:space="preserve">EcoFont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2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-171449</wp:posOffset>
          </wp:positionV>
          <wp:extent cx="1863481" cy="69215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3481" cy="692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404B"/>
    <w:pPr>
      <w:widowControl w:val="0"/>
      <w:suppressAutoHyphens w:val="1"/>
      <w:spacing w:after="0" w:line="240" w:lineRule="auto"/>
    </w:pPr>
    <w:rPr>
      <w:rFonts w:ascii="Times New Roman" w:cs="Mangal" w:eastAsia="Arial Unicode MS" w:hAnsi="Times New Roman"/>
      <w:kern w:val="1"/>
      <w:sz w:val="24"/>
      <w:szCs w:val="24"/>
      <w:lang w:bidi="hi-IN" w:eastAsia="hi-IN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322997"/>
    <w:pPr>
      <w:widowControl w:val="1"/>
      <w:tabs>
        <w:tab w:val="center" w:pos="4536"/>
        <w:tab w:val="right" w:pos="9072"/>
      </w:tabs>
      <w:suppressAutoHyphens w:val="0"/>
    </w:pPr>
    <w:rPr>
      <w:rFonts w:asciiTheme="minorHAnsi" w:cstheme="minorBidi" w:eastAsiaTheme="minorHAnsi" w:hAnsiTheme="minorHAnsi"/>
      <w:kern w:val="0"/>
      <w:sz w:val="22"/>
      <w:szCs w:val="22"/>
      <w:lang w:bidi="ar-SA" w:eastAsia="en-US"/>
    </w:rPr>
  </w:style>
  <w:style w:type="character" w:styleId="En-tteCar" w:customStyle="1">
    <w:name w:val="En-tête Car"/>
    <w:basedOn w:val="Policepardfaut"/>
    <w:link w:val="En-tte"/>
    <w:uiPriority w:val="99"/>
    <w:rsid w:val="00322997"/>
  </w:style>
  <w:style w:type="paragraph" w:styleId="Pieddepage">
    <w:name w:val="footer"/>
    <w:basedOn w:val="Normal"/>
    <w:link w:val="PieddepageCar"/>
    <w:uiPriority w:val="99"/>
    <w:unhideWhenUsed w:val="1"/>
    <w:rsid w:val="00322997"/>
    <w:pPr>
      <w:widowControl w:val="1"/>
      <w:tabs>
        <w:tab w:val="center" w:pos="4536"/>
        <w:tab w:val="right" w:pos="9072"/>
      </w:tabs>
      <w:suppressAutoHyphens w:val="0"/>
    </w:pPr>
    <w:rPr>
      <w:rFonts w:asciiTheme="minorHAnsi" w:cstheme="minorBidi" w:eastAsiaTheme="minorHAnsi" w:hAnsiTheme="minorHAnsi"/>
      <w:kern w:val="0"/>
      <w:sz w:val="22"/>
      <w:szCs w:val="22"/>
      <w:lang w:bidi="ar-SA"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322997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22997"/>
    <w:pPr>
      <w:widowControl w:val="1"/>
      <w:suppressAutoHyphens w:val="0"/>
    </w:pPr>
    <w:rPr>
      <w:rFonts w:ascii="Tahoma" w:cs="Tahoma" w:hAnsi="Tahoma" w:eastAsiaTheme="minorHAnsi"/>
      <w:kern w:val="0"/>
      <w:sz w:val="16"/>
      <w:szCs w:val="16"/>
      <w:lang w:bidi="ar-SA" w:eastAsia="en-US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22997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D0613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59695F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rsid w:val="008D404B"/>
    <w:pPr>
      <w:spacing w:after="120"/>
    </w:pPr>
  </w:style>
  <w:style w:type="character" w:styleId="CorpsdetexteCar" w:customStyle="1">
    <w:name w:val="Corps de texte Car"/>
    <w:basedOn w:val="Policepardfaut"/>
    <w:link w:val="Corpsdetexte"/>
    <w:rsid w:val="008D404B"/>
    <w:rPr>
      <w:rFonts w:ascii="Times New Roman" w:cs="Mangal" w:eastAsia="Arial Unicode MS" w:hAnsi="Times New Roman"/>
      <w:kern w:val="1"/>
      <w:sz w:val="24"/>
      <w:szCs w:val="24"/>
      <w:lang w:bidi="hi-IN" w:eastAsia="hi-IN"/>
    </w:rPr>
  </w:style>
  <w:style w:type="paragraph" w:styleId="Paragraphedeliste">
    <w:name w:val="List Paragraph"/>
    <w:basedOn w:val="Normal"/>
    <w:uiPriority w:val="34"/>
    <w:qFormat w:val="1"/>
    <w:rsid w:val="005374C3"/>
    <w:pPr>
      <w:widowControl w:val="1"/>
      <w:suppressAutoHyphens w:val="0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0"/>
      <w:sz w:val="22"/>
      <w:szCs w:val="22"/>
      <w:lang w:bidi="ar-SA" w:eastAsia="en-US"/>
    </w:rPr>
  </w:style>
  <w:style w:type="table" w:styleId="Grilledutableau">
    <w:name w:val="Table Grid"/>
    <w:basedOn w:val="TableauNormal"/>
    <w:uiPriority w:val="39"/>
    <w:rsid w:val="004159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fr.linkedin.com/in/mathieucastaings" TargetMode="External"/><Relationship Id="rId2" Type="http://schemas.openxmlformats.org/officeDocument/2006/relationships/hyperlink" Target="http://www.finacoop.fr" TargetMode="External"/><Relationship Id="rId3" Type="http://schemas.openxmlformats.org/officeDocument/2006/relationships/hyperlink" Target="https://creativecommons.org/licenses/by-sa/2.0/fr/" TargetMode="External"/><Relationship Id="rId4" Type="http://schemas.openxmlformats.org/officeDocument/2006/relationships/hyperlink" Target="https://ecofont.fr.uptodown.com/windows/telecharge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yZNfwikdWupeCoXGpDNyi2TVw==">CgMxLjAyCGguZ2pkZ3hzOAByITFJQ1JEWjA4aHBFLVFPM1NHUEptc0lWYzM3eEdETF9jNA==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2016-05-18T15:23:00Z</dcterms:created>
  <dc:creator>Mathieu CASTAINGS</dc:creator>
</cp:coreProperties>
</file>