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360" w:before="480" w:lineRule="auto"/>
        <w:jc w:val="center"/>
        <w:rPr>
          <w:rFonts w:ascii="Rasa" w:cs="Rasa" w:eastAsia="Rasa" w:hAnsi="Rasa"/>
          <w:b w:val="1"/>
          <w:color w:val="0f2032"/>
          <w:sz w:val="26"/>
          <w:szCs w:val="26"/>
        </w:rPr>
      </w:pPr>
      <w:r w:rsidDel="00000000" w:rsidR="00000000" w:rsidRPr="00000000">
        <w:rPr>
          <w:rFonts w:ascii="Rasa" w:cs="Rasa" w:eastAsia="Rasa" w:hAnsi="Rasa"/>
          <w:b w:val="1"/>
          <w:color w:val="0f2032"/>
          <w:sz w:val="26"/>
          <w:szCs w:val="26"/>
          <w:rtl w:val="0"/>
        </w:rPr>
        <w:t xml:space="preserve">Avantages pour les </w:t>
      </w:r>
      <w:r w:rsidDel="00000000" w:rsidR="00000000" w:rsidRPr="00000000">
        <w:rPr>
          <w:rFonts w:ascii="Rasa" w:cs="Rasa" w:eastAsia="Rasa" w:hAnsi="Rasa"/>
          <w:b w:val="1"/>
          <w:color w:val="0f2032"/>
          <w:sz w:val="26"/>
          <w:szCs w:val="26"/>
          <w:u w:val="single"/>
          <w:rtl w:val="0"/>
        </w:rPr>
        <w:t xml:space="preserve">Entreprises de l'Économie Sociale et Solidaire (EESS)</w:t>
      </w:r>
      <w:r w:rsidDel="00000000" w:rsidR="00000000" w:rsidRPr="00000000">
        <w:rPr>
          <w:rFonts w:ascii="Rasa" w:cs="Rasa" w:eastAsia="Rasa" w:hAnsi="Rasa"/>
          <w:b w:val="1"/>
          <w:color w:val="0f203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240" w:lineRule="auto"/>
        <w:jc w:val="both"/>
        <w:rPr>
          <w:rFonts w:ascii="Rasa" w:cs="Rasa" w:eastAsia="Rasa" w:hAnsi="Rasa"/>
          <w:i w:val="1"/>
          <w:color w:val="767171"/>
          <w:sz w:val="17"/>
          <w:szCs w:val="17"/>
        </w:rPr>
      </w:pPr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u w:val="single"/>
          <w:rtl w:val="0"/>
        </w:rPr>
        <w:t xml:space="preserve">Préambule :</w:t>
      </w:r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rtl w:val="0"/>
        </w:rPr>
        <w:t xml:space="preserve"> Plus large que les ESUS, les entreprises de l'ESS sont définies à l'article 1 de la loi ESS.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Rasa" w:cs="Rasa" w:eastAsia="Rasa" w:hAnsi="Rasa"/>
          <w:i w:val="1"/>
          <w:color w:val="767171"/>
          <w:sz w:val="17"/>
          <w:szCs w:val="17"/>
        </w:rPr>
      </w:pPr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rtl w:val="0"/>
        </w:rPr>
        <w:t xml:space="preserve">Sont considérées de droit comme entreprises de l'ESS les associations, coopératives, fondations, et mutuelles.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Rasa" w:cs="Rasa" w:eastAsia="Rasa" w:hAnsi="Rasa"/>
          <w:i w:val="1"/>
          <w:color w:val="767171"/>
          <w:sz w:val="17"/>
          <w:szCs w:val="17"/>
        </w:rPr>
      </w:pPr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rtl w:val="0"/>
        </w:rPr>
        <w:t xml:space="preserve">Les sociétés commerciales classiques (SA, SARL, SAS, ...) peuvent désormais rentrer dans le champ de l'ESS sous condition de respecter certains critères, notamment statutaires.</w:t>
      </w:r>
    </w:p>
    <w:p w:rsidR="00000000" w:rsidDel="00000000" w:rsidP="00000000" w:rsidRDefault="00000000" w:rsidRPr="00000000" w14:paraId="00000006">
      <w:pPr>
        <w:spacing w:after="360" w:lineRule="auto"/>
        <w:jc w:val="both"/>
        <w:rPr>
          <w:rFonts w:ascii="Rasa" w:cs="Rasa" w:eastAsia="Rasa" w:hAnsi="Rasa"/>
          <w:b w:val="1"/>
          <w:i w:val="1"/>
          <w:color w:val="767171"/>
          <w:sz w:val="17"/>
          <w:szCs w:val="17"/>
        </w:rPr>
      </w:pPr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rtl w:val="0"/>
        </w:rPr>
        <w:t xml:space="preserve">Pour les personnes souhaitant obtenir des informations sur les </w:t>
      </w:r>
      <w:r w:rsidDel="00000000" w:rsidR="00000000" w:rsidRPr="00000000">
        <w:rPr>
          <w:rFonts w:ascii="Rasa" w:cs="Rasa" w:eastAsia="Rasa" w:hAnsi="Rasa"/>
          <w:i w:val="1"/>
          <w:color w:val="ffc000"/>
          <w:sz w:val="17"/>
          <w:szCs w:val="17"/>
          <w:rtl w:val="0"/>
        </w:rPr>
        <w:t xml:space="preserve">mentions statutaires</w:t>
      </w:r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rtl w:val="0"/>
        </w:rPr>
        <w:t xml:space="preserve"> relatives à la qualité d'entreprise de l'ESS et à l'agrément ESUS, la </w:t>
      </w:r>
      <w:hyperlink r:id="rId8">
        <w:r w:rsidDel="00000000" w:rsidR="00000000" w:rsidRPr="00000000">
          <w:rPr>
            <w:rFonts w:ascii="Rasa" w:cs="Rasa" w:eastAsia="Rasa" w:hAnsi="Rasa"/>
            <w:i w:val="1"/>
            <w:color w:val="0563c1"/>
            <w:sz w:val="17"/>
            <w:szCs w:val="17"/>
            <w:u w:val="single"/>
            <w:rtl w:val="0"/>
          </w:rPr>
          <w:t xml:space="preserve">Boîte à outils</w:t>
        </w:r>
      </w:hyperlink>
      <w:r w:rsidDel="00000000" w:rsidR="00000000" w:rsidRPr="00000000">
        <w:rPr>
          <w:rFonts w:ascii="Rasa" w:cs="Rasa" w:eastAsia="Rasa" w:hAnsi="Rasa"/>
          <w:i w:val="1"/>
          <w:color w:val="767171"/>
          <w:sz w:val="17"/>
          <w:szCs w:val="17"/>
          <w:rtl w:val="0"/>
        </w:rPr>
        <w:t xml:space="preserve"> du site web de FINACOOP.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Appartenance à une communauté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 valeurs et de pratiques 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Reconnaissance institutionnelle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vis à vis du public et des financeurs (publics ou privés) 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Accès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à des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offres de service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dédiées de la part d’acteurs privés (banques, assurances, ...) 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Adhésion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à des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réseaux d’entreprises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fédérations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aux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financements solidaires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délivrés par une soixantaine d'acteurs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: BPI France, France Active, Caisse des Dépôts et Consignations, ... 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Facilité d'accès aux financements publics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: l'article 59 de la loi ESS édicte que la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subvention,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qui émane de tout organisme de droit public ou chargé d'un service public, correspond à une «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contribution justifiée par un intérêt général à un organisme de droit privé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»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Capacité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 bénéficier du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Dispositif Local d'Accompagnement (DLA)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=&gt; concerne les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entreprises de l'ESS de droit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(associations, coopératives, fondations, ...) et les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ESUS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 ; sont exclues les sociétés commerciales (SARL, SA, SAS, ...)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ayant simplement la mention de la qualité "Entreprise de l'ESS" 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Capacité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 créer ou d'intégrer un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Pôle Territorial de Coopération Économique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(PTCE)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357"/>
        <w:jc w:val="both"/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Accès élargi aux marchés publics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par des clauses de faveur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=&gt; concerne les marchés publics qui portent exclusivement sur les services de santé, sociaux ou culturels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Accès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à des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concours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appels à projets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proposés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 manière volontaire par des acteurs publics et privés 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Accès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à des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locaux municipaux 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proposés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 manière volontaire par des collectivités 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83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aux emplois aidés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sur les « territoires zéro chômage de longue durée »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expérimentaux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83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à l’accueil de personnes placées sous main de justice astreintes à un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travail d'intérêt général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sur des territoires expérimentaux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40" w:line="240" w:lineRule="auto"/>
        <w:jc w:val="both"/>
        <w:rPr>
          <w:rFonts w:ascii="Rasa" w:cs="Rasa" w:eastAsia="Rasa" w:hAnsi="Ras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both"/>
        <w:rPr>
          <w:rFonts w:ascii="Rasa" w:cs="Rasa" w:eastAsia="Rasa" w:hAnsi="Ras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both"/>
        <w:rPr>
          <w:rFonts w:ascii="Rasa" w:cs="Rasa" w:eastAsia="Rasa" w:hAnsi="Ras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jc w:val="both"/>
        <w:rPr>
          <w:rFonts w:ascii="Rasa" w:cs="Rasa" w:eastAsia="Rasa" w:hAnsi="Ras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jc w:val="both"/>
        <w:rPr>
          <w:rFonts w:ascii="Rasa" w:cs="Rasa" w:eastAsia="Rasa" w:hAnsi="Ras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Rasa" w:cs="Rasa" w:eastAsia="Rasa" w:hAnsi="Rasa"/>
          <w:b w:val="1"/>
          <w:color w:val="0f20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360" w:before="220" w:lineRule="auto"/>
        <w:jc w:val="center"/>
        <w:rPr>
          <w:rFonts w:ascii="Rasa" w:cs="Rasa" w:eastAsia="Rasa" w:hAnsi="Rasa"/>
          <w:b w:val="1"/>
          <w:color w:val="0f2032"/>
          <w:sz w:val="26"/>
          <w:szCs w:val="26"/>
        </w:rPr>
      </w:pPr>
      <w:r w:rsidDel="00000000" w:rsidR="00000000" w:rsidRPr="00000000">
        <w:rPr>
          <w:rFonts w:ascii="Rasa" w:cs="Rasa" w:eastAsia="Rasa" w:hAnsi="Rasa"/>
          <w:b w:val="1"/>
          <w:color w:val="0f2032"/>
          <w:sz w:val="26"/>
          <w:szCs w:val="26"/>
          <w:rtl w:val="0"/>
        </w:rPr>
        <w:t xml:space="preserve">Avantages pour les </w:t>
      </w:r>
      <w:r w:rsidDel="00000000" w:rsidR="00000000" w:rsidRPr="00000000">
        <w:rPr>
          <w:rFonts w:ascii="Rasa" w:cs="Rasa" w:eastAsia="Rasa" w:hAnsi="Rasa"/>
          <w:b w:val="1"/>
          <w:color w:val="0f2032"/>
          <w:sz w:val="26"/>
          <w:szCs w:val="26"/>
          <w:u w:val="single"/>
          <w:rtl w:val="0"/>
        </w:rPr>
        <w:t xml:space="preserve">Entreprises Solidaires d'Utilité Sociale (ESUS)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hanging="357"/>
        <w:jc w:val="both"/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Avantages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conférés aux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entreprises de l'ESS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listés précédemment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plus grande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que les entreprises de l'ESS aux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financements solidaires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délivrés par une soixantaine d'acteurs : BPI France, France Active, ... 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283" w:right="0" w:hanging="357"/>
        <w:jc w:val="both"/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aux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financements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délivrés par les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fonds d'épargne salariale solidaire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283" w:right="0" w:hanging="357"/>
        <w:jc w:val="both"/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aux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financements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délivrés par les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fonds d’assurance-vie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au titre des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contrats “vie-génération”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procurant à leurs bénéficiaires des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abattements fiscaux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Capacité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 bénéficier du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Dispositif Local d'Accompagnement (DLA)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=&gt; concerne les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entreprises de l'ESS de droit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(associations, coopératives, fondations, ...) et les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ESUS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 ; sont exclues les sociétés commerciales (SARL, SA, SAS, ...)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ayant simplement la mention de la qualité "Entreprise de l'ESS" 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plus grande que les PME classiques à la réduction fiscale pour les personnes physiques d'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investissement au capital de PME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dite « Madelin » (25% de réduction d’impôt à l'IR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) 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=&gt; l’ancienneté maximum de la société passe de 7 ans à 10 ans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=&gt; l'éligibilité est étendue aux activités suivantes qui, à défaut de l’agrément ESUS, sont exclues de ce dispositif 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financières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construction d’immeubles ou immobilières intégrant une activité de gestion immobilière à vocation sociale</w:t>
      </w:r>
    </w:p>
    <w:p w:rsidR="00000000" w:rsidDel="00000000" w:rsidP="00000000" w:rsidRDefault="00000000" w:rsidRPr="00000000" w14:paraId="00000028">
      <w:pPr>
        <w:spacing w:after="240" w:line="240" w:lineRule="auto"/>
        <w:jc w:val="both"/>
        <w:rPr>
          <w:rFonts w:ascii="Rasa" w:cs="Rasa" w:eastAsia="Rasa" w:hAnsi="Rasa"/>
          <w:i w:val="1"/>
          <w:sz w:val="19"/>
          <w:szCs w:val="19"/>
        </w:rPr>
      </w:pPr>
      <w:r w:rsidDel="00000000" w:rsidR="00000000" w:rsidRPr="00000000">
        <w:rPr>
          <w:rFonts w:ascii="Rasa" w:cs="Rasa" w:eastAsia="Rasa" w:hAnsi="Rasa"/>
          <w:i w:val="1"/>
          <w:sz w:val="19"/>
          <w:szCs w:val="19"/>
          <w:rtl w:val="0"/>
        </w:rPr>
        <w:t xml:space="preserve">     =&gt; Par ailleurs,</w:t>
      </w:r>
      <w:r w:rsidDel="00000000" w:rsidR="00000000" w:rsidRPr="00000000">
        <w:rPr>
          <w:rFonts w:ascii="Rasa" w:cs="Rasa" w:eastAsia="Rasa" w:hAnsi="Ras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i w:val="1"/>
          <w:sz w:val="19"/>
          <w:szCs w:val="19"/>
          <w:rtl w:val="0"/>
        </w:rPr>
        <w:t xml:space="preserve">un dispositif spécifique est applicable aux entreprises solidaires de presse</w:t>
      </w:r>
      <w:r w:rsidDel="00000000" w:rsidR="00000000" w:rsidRPr="00000000">
        <w:rPr>
          <w:rFonts w:ascii="Rasa" w:cs="Rasa" w:eastAsia="Rasa" w:hAnsi="Rasa"/>
          <w:i w:val="1"/>
          <w:sz w:val="19"/>
          <w:szCs w:val="19"/>
          <w:vertAlign w:val="superscript"/>
        </w:rPr>
        <w:footnoteReference w:customMarkFollows="0" w:id="12"/>
      </w:r>
      <w:r w:rsidDel="00000000" w:rsidR="00000000" w:rsidRPr="00000000">
        <w:rPr>
          <w:rFonts w:ascii="Rasa" w:cs="Rasa" w:eastAsia="Rasa" w:hAnsi="Rasa"/>
          <w:i w:val="1"/>
          <w:sz w:val="19"/>
          <w:szCs w:val="19"/>
          <w:rtl w:val="0"/>
        </w:rPr>
        <w:t xml:space="preserve"> 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Soustraction de l’assiette de l’IFI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 parts sociales ou actions de sociétés immobilières ou commerciales mais immobilières en fait 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Accès élargi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à des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concours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et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appels à projets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proposés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 manière volontaire par des acteurs publics et privés 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Accès élargi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à des 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locaux municipaux 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proposés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 manière volontaire par des collectivités 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aux services civiques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pour les ESUS de droit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 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3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Éligibilité aux emplois aidés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pour certains territoires qui dérogent aux règles sur les aides à l'emploi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 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3" w:right="0" w:hanging="357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Pour le secteur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agricole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possibilité de conclure des</w:t>
      </w: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baux ruraux environnementaux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</w:rPr>
        <w:footnoteReference w:customMarkFollows="0" w:id="16"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Ryman Eco"/>
  <w:font w:name="Noto Sans Symbols">
    <w:embedRegular w:fontKey="{00000000-0000-0000-0000-000000000000}" r:id="rId1" w:subsetted="0"/>
    <w:embedBold w:fontKey="{00000000-0000-0000-0000-000000000000}" r:id="rId2" w:subsetted="0"/>
  </w:font>
  <w:font w:name="Ras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right" w:leader="none" w:pos="9639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4"/>
          <w:szCs w:val="14"/>
          <w:u w:val="single"/>
          <w:shd w:fill="auto" w:val="clear"/>
          <w:vertAlign w:val="baseline"/>
          <w:rtl w:val="0"/>
        </w:rPr>
        <w:t xml:space="preserve">Mathieu Castaings</w:t>
      </w:r>
    </w:hyperlink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 xml:space="preserve">Expert-comptable</w:t>
      <w:tab/>
      <w:tab/>
      <w:tab/>
      <w:tab/>
      <w:tab/>
      <w:t xml:space="preserve">  </w:t>
      <w:tab/>
      <w:t xml:space="preserve">         A jour le 09/07/2024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right" w:leader="none" w:pos="9639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4"/>
          <w:szCs w:val="14"/>
          <w:u w:val="single"/>
          <w:shd w:fill="auto" w:val="clear"/>
          <w:vertAlign w:val="baseline"/>
          <w:rtl w:val="0"/>
        </w:rPr>
        <w:t xml:space="preserve">FINACOOP</w:t>
      </w:r>
    </w:hyperlink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 xml:space="preserve">, Coopérative d'intérêt collectif (SCIC SA)</w:t>
      <w:tab/>
      <w:tab/>
      <w:t xml:space="preserve">               Document sous licence Creative Commons </w:t>
    </w:r>
    <w:hyperlink r:id="rId3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4"/>
          <w:szCs w:val="14"/>
          <w:u w:val="single"/>
          <w:shd w:fill="auto" w:val="clear"/>
          <w:vertAlign w:val="baseline"/>
          <w:rtl w:val="0"/>
        </w:rPr>
        <w:t xml:space="preserve">CC-BY-SA 4.0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 xml:space="preserve">Expertise comptable, juridique et financière, Révision coopérative</w:t>
    </w: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 xml:space="preserve">                                           </w:t>
    </w: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 xml:space="preserve">Rédigé sous police écologique </w:t>
    </w:r>
    <w:hyperlink r:id="rId4"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563c1"/>
          <w:sz w:val="14"/>
          <w:szCs w:val="14"/>
          <w:u w:val="single"/>
          <w:shd w:fill="auto" w:val="clear"/>
          <w:vertAlign w:val="baseline"/>
          <w:rtl w:val="0"/>
        </w:rPr>
        <w:t xml:space="preserve">EcoFont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Possibilité de consulter gratuitement l'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ffc000"/>
          <w:sz w:val="14"/>
          <w:szCs w:val="14"/>
          <w:u w:val="none"/>
          <w:shd w:fill="auto" w:val="clear"/>
          <w:vertAlign w:val="baseline"/>
          <w:rtl w:val="0"/>
        </w:rPr>
        <w:t xml:space="preserve">Annuaire des financeurs solidaires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ainsi que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l'</w:t>
      </w: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ffc000"/>
          <w:sz w:val="14"/>
          <w:szCs w:val="14"/>
          <w:u w:val="none"/>
          <w:shd w:fill="auto" w:val="clear"/>
          <w:vertAlign w:val="baseline"/>
          <w:rtl w:val="0"/>
        </w:rPr>
        <w:t xml:space="preserve">Annuaire du crowdfunding de l'ESS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dans notre dans notre </w:t>
      </w:r>
      <w:hyperlink r:id="rId1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Boîte à outils</w:t>
        </w:r>
      </w:hyperlink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Voir un exemple de prime à la création et à l'embauche en Région IDF : </w:t>
      </w:r>
      <w:hyperlink r:id="rId2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http://www.aides-entreprises.fr/aides/show/-1/-1/1/573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Décret n°2015-1103 du 1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septembre 2015 relatif au dispositif local d’accompagnement.</w:t>
      </w:r>
    </w:p>
  </w:footnote>
  <w:footnote w:id="3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Décret n°2015-431 du 15 avril 2015 relatif aux appels à projets des pôles territoriaux de coopération économique.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Ordonnance du 24 juillet 2015 sur les marchés publics, Articles 36 à 38.</w:t>
      </w:r>
    </w:p>
  </w:footnote>
  <w:footnote w:id="5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yman Eco" w:cs="Ryman Eco" w:eastAsia="Ryman Eco" w:hAnsi="Ryman Ec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Loi n°2016-231 du 29 février 2016 d'expérimentation territoriale visant à résorber le chômage de longue durée.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yman Eco" w:cs="Ryman Eco" w:eastAsia="Ryman Eco" w:hAnsi="Ryman Ec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Décret n° 2019-1462 du 26 décembre 2019 relatif à l'expérimentation du travail d'intérêt général dans les entreprises de l'économie sociale et solidaire et les sociétés à mission.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Au sein des activités financières, et aux termes de l'article 11 de la loi ESS, sont "assimilés ESUS" les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organismes de financement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comportant dans leurs actifs au moins 35% de titres émis par les entreprises de l'ESS et 25% de titres émis par des ESUS, de même que les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établissements de crédit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dont le portefeuille de prêt et d'investissement est réservé à 80% aux ESUS. De manière surprenante, et par exception à la loi ESS, ce sont les seuls acteurs n'ayant aucune obligation, notamment statutaire, relative à la qualité d'entreprise de l'ESS ou à l'agrément ESUS.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Article </w:t>
      </w:r>
      <w:hyperlink r:id="rId3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070c0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L 214-164</w:t>
        </w:r>
      </w:hyperlink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al. 5.A, code monétaire et financier. </w:t>
      </w:r>
    </w:p>
  </w:footnote>
  <w:footnote w:id="9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Décret n° 2016-918 du 4 juillet 2016 relatif aux actifs relevant de l'économie sociale et solidaire des contrats et placements mentionnés au I bis de l'article 990 I du code général des impôts.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Décret n°2015-1103 du 1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septembre 2015 relatif au dispositif local d’accompagnement.</w:t>
      </w:r>
    </w:p>
  </w:footnote>
  <w:footnote w:id="11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Cf. Notre note ‘</w:t>
      </w:r>
      <w:hyperlink r:id="rId4">
        <w:r w:rsidDel="00000000" w:rsidR="00000000" w:rsidRPr="00000000">
          <w:rPr>
            <w:rFonts w:ascii="Rasa" w:cs="Rasa" w:eastAsia="Rasa" w:hAnsi="Rasa"/>
            <w:b w:val="0"/>
            <w:i w:val="1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Défiscalisation IR PME’</w:t>
        </w:r>
      </w:hyperlink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hyperlink r:id="rId5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http://bofip.impots.gouv.fr/bofip/10128-PGP</w:t>
        </w:r>
      </w:hyperlink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§250 du </w:t>
      </w:r>
      <w:hyperlink r:id="rId6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BOI-PAT-IFI-20-20-20-20-20180608</w:t>
        </w:r>
      </w:hyperlink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Article </w:t>
      </w:r>
      <w:hyperlink r:id="rId7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L120-1</w:t>
        </w:r>
      </w:hyperlink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du code du service national</w:t>
      </w:r>
      <w:r w:rsidDel="00000000" w:rsidR="00000000" w:rsidRPr="00000000">
        <w:rPr>
          <w:rtl w:val="0"/>
        </w:rPr>
      </w:r>
    </w:p>
  </w:footnote>
  <w:footnote w:id="15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yman Eco" w:cs="Ryman Eco" w:eastAsia="Ryman Eco" w:hAnsi="Ryman Ec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Comme définies aux articles </w:t>
      </w:r>
      <w:hyperlink r:id="rId8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070c0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L. 5134-111</w:t>
        </w:r>
      </w:hyperlink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(emploi d'avenir) et </w:t>
      </w:r>
      <w:hyperlink r:id="rId9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070c0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L. 5134-21</w:t>
        </w:r>
      </w:hyperlink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(CUI-CAE) du code de travail. Se rapprocher de Pôle Emploi ou des missions locales (emploi d'avenir, CUI-CAE), ainsi que des régions (ex : emploi-tremplin) pour vérifier l'éligibilité des ESUS.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Article </w:t>
      </w:r>
      <w:hyperlink r:id="rId10">
        <w:r w:rsidDel="00000000" w:rsidR="00000000" w:rsidRPr="00000000">
          <w:rPr>
            <w:rFonts w:ascii="Rasa" w:cs="Rasa" w:eastAsia="Rasa" w:hAnsi="Rasa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L411-27</w:t>
        </w:r>
      </w:hyperlink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du Code rural et de la pêche maritime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hanging="141.9999999999999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-323849</wp:posOffset>
          </wp:positionH>
          <wp:positionV relativeFrom="paragraph">
            <wp:posOffset>-123824</wp:posOffset>
          </wp:positionV>
          <wp:extent cx="1863481" cy="6921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3481" cy="692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804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DC19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13288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32884"/>
  </w:style>
  <w:style w:type="paragraph" w:styleId="Pieddepage">
    <w:name w:val="footer"/>
    <w:basedOn w:val="Normal"/>
    <w:link w:val="PieddepageCar"/>
    <w:uiPriority w:val="99"/>
    <w:unhideWhenUsed w:val="1"/>
    <w:rsid w:val="0013288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32884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13288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132884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B751D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850E53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850E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850E5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834E5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finacoop.fr/boite-a-outi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Rasa-regular.ttf"/><Relationship Id="rId4" Type="http://schemas.openxmlformats.org/officeDocument/2006/relationships/font" Target="fonts/Rasa-bold.ttf"/><Relationship Id="rId5" Type="http://schemas.openxmlformats.org/officeDocument/2006/relationships/font" Target="fonts/Rasa-italic.ttf"/><Relationship Id="rId6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fr.linkedin.com/in/mathieucastaings" TargetMode="External"/><Relationship Id="rId2" Type="http://schemas.openxmlformats.org/officeDocument/2006/relationships/hyperlink" Target="http://www.finacoop.fr" TargetMode="External"/><Relationship Id="rId3" Type="http://schemas.openxmlformats.org/officeDocument/2006/relationships/hyperlink" Target="https://creativecommons.org/licenses/by-sa/4.0/deed.fr" TargetMode="External"/><Relationship Id="rId4" Type="http://schemas.openxmlformats.org/officeDocument/2006/relationships/hyperlink" Target="https://ecofont.fr.uptodown.com/windows/telecharger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finacoop.fr/boite-a-outils/" TargetMode="External"/><Relationship Id="rId2" Type="http://schemas.openxmlformats.org/officeDocument/2006/relationships/hyperlink" Target="http://www.aides-entreprises.fr/aides/show/-1/-1/1/573" TargetMode="External"/><Relationship Id="rId3" Type="http://schemas.openxmlformats.org/officeDocument/2006/relationships/hyperlink" Target="http://www.legifrance.gouv.fr/affichCodeArticle.do?cidTexte=LEGITEXT000006072026&amp;idArticle=LEGIARTI000027780393" TargetMode="External"/><Relationship Id="rId4" Type="http://schemas.openxmlformats.org/officeDocument/2006/relationships/hyperlink" Target="https://drive.google.com/open?id=1cqxFNW3iNnId-8Mg2Pa5WBgz_-G9zegQ&amp;authuser=m.castaings%40finacoop.fr&amp;usp=drive_fs" TargetMode="External"/><Relationship Id="rId10" Type="http://schemas.openxmlformats.org/officeDocument/2006/relationships/hyperlink" Target="https://www.legifrance.gouv.fr/affichCodeArticle.do?idArticle=LEGIARTI000022658314&amp;cidTexte=LEGITEXT000006071367&amp;dateTexte=20140307&amp;oldAction=rechCodeArticle" TargetMode="External"/><Relationship Id="rId9" Type="http://schemas.openxmlformats.org/officeDocument/2006/relationships/hyperlink" Target="http://www.legifrance.gouv.fr/affichCodeArticle.do?cidTexte=LEGITEXT000006072050&amp;idArticle=LEGIARTI000019869634&amp;dateTexte=" TargetMode="External"/><Relationship Id="rId5" Type="http://schemas.openxmlformats.org/officeDocument/2006/relationships/hyperlink" Target="http://bofip.impots.gouv.fr/bofip/10128-PGP" TargetMode="External"/><Relationship Id="rId6" Type="http://schemas.openxmlformats.org/officeDocument/2006/relationships/hyperlink" Target="http://bofip.impots.gouv.fr/bofip/11307-PGP.html" TargetMode="External"/><Relationship Id="rId7" Type="http://schemas.openxmlformats.org/officeDocument/2006/relationships/hyperlink" Target="https://www.legifrance.gouv.fr/affichCodeArticle.do?cidTexte=LEGITEXT000006071335&amp;idArticle=LEGIARTI000021956514" TargetMode="External"/><Relationship Id="rId8" Type="http://schemas.openxmlformats.org/officeDocument/2006/relationships/hyperlink" Target="http://www.legifrance.gouv.fr/affichCodeArticle.do;jsessionid=01968651E11C7ECB91097B3C8118D86E.tpdila17v_2?idArticle=LEGIARTI000029321361&amp;cidTexte=LEGITEXT000006072050&amp;categorieLien=id&amp;dateTexte=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q/0LRtYB+lg9y2v0mYI1HWhUw==">CgMxLjA4AHIhMUZGclUwUll2QVVjaHRjemcyTzNQZldMSzd0QU9SUExi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2019-03-19T15:48:00Z</dcterms:created>
  <dc:creator>Mathieu CASTAINGS</dc:creator>
</cp:coreProperties>
</file>